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5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13"/>
        <w:gridCol w:w="11285"/>
        <w:gridCol w:w="2170"/>
      </w:tblGrid>
      <w:tr w:rsidR="009B07BB" w:rsidRPr="000B23B7" w:rsidTr="004D571D"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9B07BB" w:rsidRPr="000B23B7" w:rsidRDefault="009B07BB" w:rsidP="004D571D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0B23B7">
              <w:rPr>
                <w:rFonts w:cs="B Titr" w:hint="cs"/>
                <w:rtl/>
              </w:rPr>
              <w:t>جدول  توضيحات</w:t>
            </w:r>
            <w:r w:rsidR="00DC68AD">
              <w:rPr>
                <w:rFonts w:cs="B Titr"/>
                <w:rtl/>
              </w:rPr>
              <w:t xml:space="preserve"> </w:t>
            </w:r>
            <w:r w:rsidRPr="000B23B7">
              <w:rPr>
                <w:rFonts w:cs="B Titr" w:hint="cs"/>
                <w:rtl/>
              </w:rPr>
              <w:t xml:space="preserve">انواع وام و </w:t>
            </w:r>
            <w:r w:rsidR="00085723" w:rsidRPr="000B23B7">
              <w:rPr>
                <w:rFonts w:cs="B Titr" w:hint="cs"/>
                <w:rtl/>
              </w:rPr>
              <w:t>شرايط</w:t>
            </w:r>
            <w:r w:rsidR="00DC68AD">
              <w:rPr>
                <w:rFonts w:cs="B Titr"/>
                <w:rtl/>
              </w:rPr>
              <w:t xml:space="preserve"> </w:t>
            </w:r>
            <w:r w:rsidRPr="000B23B7">
              <w:rPr>
                <w:rFonts w:cs="B Titr" w:hint="cs"/>
                <w:rtl/>
              </w:rPr>
              <w:t xml:space="preserve">اعطاي </w:t>
            </w:r>
            <w:r w:rsidR="00DC68AD">
              <w:rPr>
                <w:rFonts w:cs="B Titr" w:hint="cs"/>
                <w:rtl/>
              </w:rPr>
              <w:t>وام‌های</w:t>
            </w:r>
            <w:r w:rsidRPr="000B23B7">
              <w:rPr>
                <w:rFonts w:cs="B Titr" w:hint="cs"/>
                <w:rtl/>
              </w:rPr>
              <w:t xml:space="preserve"> دانشجويي در نيمسال اول 1402-1401</w:t>
            </w:r>
          </w:p>
        </w:tc>
      </w:tr>
      <w:tr w:rsidR="00085723" w:rsidRPr="000B23B7" w:rsidTr="00963833">
        <w:trPr>
          <w:cantSplit/>
          <w:trHeight w:val="1134"/>
        </w:trPr>
        <w:tc>
          <w:tcPr>
            <w:tcW w:w="446" w:type="dxa"/>
            <w:tcBorders>
              <w:bottom w:val="single" w:sz="2" w:space="0" w:color="auto"/>
            </w:tcBorders>
            <w:textDirection w:val="btLr"/>
          </w:tcPr>
          <w:p w:rsidR="00085723" w:rsidRPr="000B23B7" w:rsidRDefault="00085723" w:rsidP="001D14E0">
            <w:pPr>
              <w:jc w:val="center"/>
              <w:rPr>
                <w:rFonts w:cs="B Zar"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1713" w:type="dxa"/>
            <w:tcBorders>
              <w:bottom w:val="single" w:sz="2" w:space="0" w:color="auto"/>
            </w:tcBorders>
            <w:vAlign w:val="center"/>
          </w:tcPr>
          <w:p w:rsidR="00085723" w:rsidRPr="000B23B7" w:rsidRDefault="00085723" w:rsidP="004D571D">
            <w:pPr>
              <w:jc w:val="center"/>
              <w:rPr>
                <w:rFonts w:cs="B Zar"/>
                <w:b/>
                <w:bCs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نوع وام</w:t>
            </w:r>
          </w:p>
        </w:tc>
        <w:tc>
          <w:tcPr>
            <w:tcW w:w="11285" w:type="dxa"/>
            <w:tcBorders>
              <w:bottom w:val="single" w:sz="2" w:space="0" w:color="auto"/>
            </w:tcBorders>
            <w:vAlign w:val="center"/>
          </w:tcPr>
          <w:p w:rsidR="00085723" w:rsidRPr="000B23B7" w:rsidRDefault="000B23B7" w:rsidP="004D57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2170" w:type="dxa"/>
            <w:tcBorders>
              <w:bottom w:val="single" w:sz="2" w:space="0" w:color="auto"/>
            </w:tcBorders>
            <w:vAlign w:val="center"/>
          </w:tcPr>
          <w:p w:rsidR="000B23B7" w:rsidRPr="000B23B7" w:rsidRDefault="00085723" w:rsidP="004D571D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دانشجويان واجد شرايط</w:t>
            </w:r>
          </w:p>
          <w:p w:rsidR="00085723" w:rsidRPr="000B23B7" w:rsidRDefault="00085723" w:rsidP="004D571D">
            <w:pPr>
              <w:jc w:val="center"/>
              <w:rPr>
                <w:rFonts w:cs="B Zar"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 xml:space="preserve"> </w:t>
            </w:r>
            <w:r w:rsidR="00DC68AD">
              <w:rPr>
                <w:rFonts w:cs="B Zar" w:hint="cs"/>
                <w:b/>
                <w:bCs/>
                <w:rtl/>
              </w:rPr>
              <w:t>برحسب</w:t>
            </w:r>
            <w:r w:rsidRPr="000B23B7">
              <w:rPr>
                <w:rFonts w:cs="B Zar" w:hint="cs"/>
                <w:b/>
                <w:bCs/>
                <w:rtl/>
              </w:rPr>
              <w:t xml:space="preserve"> نوع وام</w:t>
            </w:r>
          </w:p>
        </w:tc>
      </w:tr>
      <w:tr w:rsidR="00085723" w:rsidRPr="000B23B7" w:rsidTr="00963833"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748" w:rsidRPr="001D14E0" w:rsidRDefault="00085723" w:rsidP="001D14E0">
            <w:pPr>
              <w:jc w:val="center"/>
              <w:rPr>
                <w:rFonts w:cs="B Zar"/>
                <w:b/>
                <w:bCs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1</w:t>
            </w:r>
          </w:p>
          <w:p w:rsidR="00085723" w:rsidRPr="00C17748" w:rsidRDefault="00085723" w:rsidP="001D14E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723" w:rsidRPr="00963833" w:rsidRDefault="00085723" w:rsidP="00963833">
            <w:pPr>
              <w:jc w:val="center"/>
              <w:rPr>
                <w:rFonts w:cs="B Zar"/>
                <w:rtl/>
              </w:rPr>
            </w:pPr>
            <w:r w:rsidRPr="00963833">
              <w:rPr>
                <w:rFonts w:cs="B Zar" w:hint="cs"/>
                <w:b/>
                <w:bCs/>
                <w:rtl/>
              </w:rPr>
              <w:t>تحصيلي</w:t>
            </w:r>
          </w:p>
        </w:tc>
        <w:tc>
          <w:tcPr>
            <w:tcW w:w="1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مبالغ وام بر اساس مقطع تحصيلي </w:t>
            </w:r>
            <w:r w:rsidR="00DC68AD">
              <w:rPr>
                <w:rFonts w:cs="B Zar" w:hint="cs"/>
                <w:rtl/>
              </w:rPr>
              <w:t>می‌باشد</w:t>
            </w:r>
            <w:r w:rsidRPr="004D571D">
              <w:rPr>
                <w:rFonts w:cs="B Zar" w:hint="cs"/>
                <w:rtl/>
              </w:rPr>
              <w:t>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پرداخت وام ويژه دكتري در قالب وام تحصيلي مقطع </w:t>
            </w:r>
            <w:r w:rsidR="00DC68AD">
              <w:rPr>
                <w:rFonts w:cs="B Zar" w:hint="cs"/>
                <w:rtl/>
              </w:rPr>
              <w:t>دكتري</w:t>
            </w:r>
            <w:r w:rsidR="00DC68AD">
              <w:rPr>
                <w:rFonts w:cs="B Zar"/>
                <w:rtl/>
              </w:rPr>
              <w:t xml:space="preserve"> (</w:t>
            </w:r>
            <w:r w:rsidR="00DC68AD">
              <w:rPr>
                <w:rFonts w:cs="B Zar" w:hint="cs"/>
                <w:rtl/>
              </w:rPr>
              <w:t>به‌صورت</w:t>
            </w:r>
            <w:r w:rsidRPr="004D571D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شش‌ماهه</w:t>
            </w:r>
            <w:r w:rsidRPr="004D571D">
              <w:rPr>
                <w:rFonts w:cs="B Zar" w:hint="cs"/>
                <w:rtl/>
              </w:rPr>
              <w:t xml:space="preserve">) پرداخت </w:t>
            </w:r>
            <w:r w:rsidR="00DC68AD">
              <w:rPr>
                <w:rFonts w:cs="B Zar" w:hint="cs"/>
                <w:rtl/>
              </w:rPr>
              <w:t>می‌شود</w:t>
            </w:r>
            <w:r w:rsidRPr="004D571D">
              <w:rPr>
                <w:rFonts w:cs="B Zar" w:hint="cs"/>
                <w:rtl/>
              </w:rPr>
              <w:t>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/>
                <w:rtl/>
              </w:rPr>
            </w:pPr>
            <w:r w:rsidRPr="004D571D">
              <w:rPr>
                <w:rFonts w:cs="B Zar" w:hint="cs"/>
                <w:rtl/>
              </w:rPr>
              <w:t xml:space="preserve">مبلغ وام تحصيلي دانشجويان متأهل حداكثر تا دو برابر مبلغ وام دانشجويان مجرد </w:t>
            </w:r>
            <w:r w:rsidR="00DC68AD">
              <w:rPr>
                <w:rFonts w:cs="B Zar" w:hint="cs"/>
                <w:rtl/>
              </w:rPr>
              <w:t>می‌باشد</w:t>
            </w:r>
            <w:r w:rsidRPr="004D571D">
              <w:rPr>
                <w:rFonts w:cs="B Zar" w:hint="cs"/>
                <w:rtl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723" w:rsidRPr="001D14E0" w:rsidRDefault="00085723" w:rsidP="001D14E0">
            <w:pPr>
              <w:jc w:val="center"/>
              <w:rPr>
                <w:rFonts w:cs="B Zar"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دانشجويان روزانه</w:t>
            </w:r>
          </w:p>
        </w:tc>
      </w:tr>
      <w:tr w:rsidR="00085723" w:rsidRPr="000B23B7" w:rsidTr="00963833"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723" w:rsidRPr="001D14E0" w:rsidRDefault="00085723" w:rsidP="001D14E0">
            <w:pPr>
              <w:jc w:val="center"/>
              <w:rPr>
                <w:rFonts w:cs="B Zar"/>
                <w:b/>
                <w:bCs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723" w:rsidRPr="00963833" w:rsidRDefault="00085723" w:rsidP="00963833">
            <w:pPr>
              <w:jc w:val="center"/>
              <w:rPr>
                <w:rFonts w:cs="B Zar"/>
                <w:rtl/>
              </w:rPr>
            </w:pPr>
            <w:r w:rsidRPr="00963833">
              <w:rPr>
                <w:rFonts w:cs="B Zar" w:hint="cs"/>
                <w:b/>
                <w:bCs/>
                <w:rtl/>
              </w:rPr>
              <w:t>ضروري</w:t>
            </w:r>
          </w:p>
        </w:tc>
        <w:tc>
          <w:tcPr>
            <w:tcW w:w="1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دانشجو </w:t>
            </w:r>
            <w:r w:rsidR="00DC68AD">
              <w:rPr>
                <w:rFonts w:cs="B Zar" w:hint="cs"/>
                <w:rtl/>
              </w:rPr>
              <w:t>می‌تواند</w:t>
            </w:r>
            <w:r w:rsidRPr="004D571D">
              <w:rPr>
                <w:rFonts w:cs="B Zar" w:hint="cs"/>
                <w:rtl/>
              </w:rPr>
              <w:t xml:space="preserve"> در هر نيمسال </w:t>
            </w:r>
            <w:r w:rsidR="00DC68AD">
              <w:rPr>
                <w:rFonts w:cs="B Zar" w:hint="cs"/>
                <w:rtl/>
              </w:rPr>
              <w:t>منحصراً</w:t>
            </w:r>
            <w:r w:rsidRPr="004D571D">
              <w:rPr>
                <w:rFonts w:cs="B Zar" w:hint="cs"/>
                <w:rtl/>
              </w:rPr>
              <w:t xml:space="preserve"> از يك رويداد استفاده نمايد.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استفاده از هر رويداد در طول مقطع تحصيلي، </w:t>
            </w:r>
            <w:r w:rsidR="00DC68AD">
              <w:rPr>
                <w:rFonts w:cs="B Zar" w:hint="cs"/>
                <w:rtl/>
              </w:rPr>
              <w:t>صرفاً</w:t>
            </w:r>
            <w:r w:rsidRPr="004D571D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یک‌بار</w:t>
            </w:r>
            <w:r w:rsidRPr="004D571D">
              <w:rPr>
                <w:rFonts w:cs="B Zar" w:hint="cs"/>
                <w:rtl/>
              </w:rPr>
              <w:t xml:space="preserve"> مجاز </w:t>
            </w:r>
            <w:r w:rsidR="00DC68AD">
              <w:rPr>
                <w:rFonts w:cs="B Zar" w:hint="cs"/>
                <w:rtl/>
              </w:rPr>
              <w:t>می‌باشد</w:t>
            </w:r>
            <w:r w:rsidRPr="004D571D">
              <w:rPr>
                <w:rFonts w:cs="B Zar" w:hint="cs"/>
                <w:rtl/>
              </w:rPr>
              <w:t>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>رويداد ازدواج،</w:t>
            </w:r>
            <w:r w:rsidR="00DC68AD">
              <w:rPr>
                <w:rFonts w:cs="B Zar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فقط</w:t>
            </w:r>
            <w:r w:rsidRPr="004D571D">
              <w:rPr>
                <w:rFonts w:cs="B Zar" w:hint="cs"/>
                <w:rtl/>
              </w:rPr>
              <w:t xml:space="preserve"> يك نوبت در تمام مقاطع تحصيلي و حداكثر </w:t>
            </w:r>
            <w:r w:rsidR="00DC68AD">
              <w:rPr>
                <w:rFonts w:cs="B Zar" w:hint="cs"/>
                <w:rtl/>
              </w:rPr>
              <w:t>تا</w:t>
            </w:r>
            <w:r w:rsidR="00DC68AD">
              <w:rPr>
                <w:rFonts w:cs="B Zar"/>
                <w:rtl/>
              </w:rPr>
              <w:t xml:space="preserve"> 18</w:t>
            </w:r>
            <w:r w:rsidRPr="004D571D">
              <w:rPr>
                <w:rFonts w:cs="B Zar" w:hint="cs"/>
                <w:rtl/>
              </w:rPr>
              <w:t xml:space="preserve"> ماه پس از تاريخ عقد </w:t>
            </w:r>
            <w:r w:rsidR="00DC68AD">
              <w:rPr>
                <w:rFonts w:cs="B Zar" w:hint="cs"/>
                <w:rtl/>
              </w:rPr>
              <w:t>صرفاً</w:t>
            </w:r>
            <w:r w:rsidRPr="004D571D">
              <w:rPr>
                <w:rFonts w:cs="B Zar" w:hint="cs"/>
                <w:rtl/>
              </w:rPr>
              <w:t xml:space="preserve"> در دوران تحصيل </w:t>
            </w:r>
            <w:r w:rsidR="00DC68AD">
              <w:rPr>
                <w:rFonts w:cs="B Zar" w:hint="cs"/>
                <w:rtl/>
              </w:rPr>
              <w:t>امکان‌پذیر</w:t>
            </w:r>
            <w:r w:rsidRPr="004D571D">
              <w:rPr>
                <w:rFonts w:cs="B Zar" w:hint="cs"/>
                <w:rtl/>
              </w:rPr>
              <w:t xml:space="preserve"> خواهد بود.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با توجه به جايگزيني وام ضروري رويداد به تشخيص رياست صندوق با رويداد خريد لوازم </w:t>
            </w:r>
            <w:r w:rsidR="00DC68AD">
              <w:rPr>
                <w:rFonts w:cs="B Zar" w:hint="cs"/>
                <w:rtl/>
              </w:rPr>
              <w:t>کمک‌آموزشی</w:t>
            </w:r>
            <w:r w:rsidRPr="004D571D">
              <w:rPr>
                <w:rFonts w:cs="B Zar" w:hint="cs"/>
                <w:rtl/>
              </w:rPr>
              <w:t xml:space="preserve">، دانشجوياني كه </w:t>
            </w:r>
            <w:r w:rsidR="00DC68AD">
              <w:rPr>
                <w:rFonts w:cs="B Zar" w:hint="cs"/>
                <w:rtl/>
              </w:rPr>
              <w:t>قبلاً</w:t>
            </w:r>
            <w:r w:rsidRPr="004D571D">
              <w:rPr>
                <w:rFonts w:cs="B Zar" w:hint="cs"/>
                <w:rtl/>
              </w:rPr>
              <w:t xml:space="preserve"> از وام ضروري رويداد به تشخيص رياست صندوق </w:t>
            </w:r>
            <w:r w:rsidR="00DC68AD">
              <w:rPr>
                <w:rFonts w:cs="B Zar" w:hint="cs"/>
                <w:rtl/>
              </w:rPr>
              <w:t>بهره‌مند</w:t>
            </w:r>
            <w:r w:rsidRPr="004D571D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شده‌اند</w:t>
            </w:r>
            <w:r w:rsidRPr="004D571D">
              <w:rPr>
                <w:rFonts w:cs="B Zar" w:hint="cs"/>
                <w:rtl/>
              </w:rPr>
              <w:t xml:space="preserve"> امكان استفاده از وام رويداد خريد لوازم </w:t>
            </w:r>
            <w:r w:rsidR="00DC68AD">
              <w:rPr>
                <w:rFonts w:cs="B Zar" w:hint="cs"/>
                <w:rtl/>
              </w:rPr>
              <w:t>کمک‌آموزشی</w:t>
            </w:r>
            <w:r w:rsidRPr="004D571D">
              <w:rPr>
                <w:rFonts w:cs="B Zar" w:hint="cs"/>
                <w:rtl/>
              </w:rPr>
              <w:t xml:space="preserve"> را ندارند.</w:t>
            </w:r>
          </w:p>
          <w:p w:rsidR="00085723" w:rsidRPr="004D571D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4D571D">
              <w:rPr>
                <w:rFonts w:cs="B Zar" w:hint="cs"/>
                <w:rtl/>
              </w:rPr>
              <w:t xml:space="preserve">رويداد خريد لوازم </w:t>
            </w:r>
            <w:r w:rsidR="00DC68AD">
              <w:rPr>
                <w:rFonts w:cs="B Zar" w:hint="cs"/>
                <w:rtl/>
              </w:rPr>
              <w:t>کمک‌آموزشی</w:t>
            </w:r>
            <w:r w:rsidRPr="004D571D">
              <w:rPr>
                <w:rFonts w:cs="B Zar" w:hint="cs"/>
                <w:rtl/>
              </w:rPr>
              <w:t xml:space="preserve"> با تكميل فرم تقاضاي وام با </w:t>
            </w:r>
            <w:r w:rsidR="00DC68AD">
              <w:rPr>
                <w:rFonts w:cs="B Zar" w:hint="cs"/>
                <w:rtl/>
              </w:rPr>
              <w:t>تأیید</w:t>
            </w:r>
            <w:r w:rsidRPr="004D571D">
              <w:rPr>
                <w:rFonts w:cs="B Zar" w:hint="cs"/>
                <w:rtl/>
              </w:rPr>
              <w:t xml:space="preserve"> معاون محترم دانشجويي و ارائه مدارك لازم (شامل فاكتور رسمي و معتبر</w:t>
            </w:r>
            <w:r w:rsidR="00DC68AD">
              <w:rPr>
                <w:rFonts w:cs="B Zar" w:hint="cs"/>
                <w:rtl/>
              </w:rPr>
              <w:t xml:space="preserve"> لپ‌تاپ</w:t>
            </w:r>
            <w:r w:rsidRPr="004D571D">
              <w:rPr>
                <w:rFonts w:cs="B Zar" w:hint="cs"/>
                <w:rtl/>
              </w:rPr>
              <w:t xml:space="preserve">، قلم نوري </w:t>
            </w:r>
            <w:r w:rsidR="001D14E0">
              <w:rPr>
                <w:rFonts w:cs="B Zar" w:hint="cs"/>
                <w:rtl/>
              </w:rPr>
              <w:t xml:space="preserve">    </w:t>
            </w:r>
            <w:r w:rsidRPr="004D571D">
              <w:rPr>
                <w:rFonts w:cs="B Zar" w:hint="cs"/>
                <w:rtl/>
              </w:rPr>
              <w:t>و ...) پرداخت خواهد شد.</w:t>
            </w: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/>
                <w:rtl/>
              </w:rPr>
            </w:pPr>
          </w:p>
        </w:tc>
      </w:tr>
      <w:tr w:rsidR="00085723" w:rsidRPr="000B23B7" w:rsidTr="00963833"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5723" w:rsidRPr="000B23B7" w:rsidRDefault="00085723" w:rsidP="001D14E0">
            <w:pPr>
              <w:jc w:val="center"/>
              <w:rPr>
                <w:rFonts w:cs="B Zar"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85723" w:rsidRPr="000B23B7" w:rsidRDefault="00085723" w:rsidP="004D571D">
            <w:pPr>
              <w:jc w:val="center"/>
              <w:rPr>
                <w:rFonts w:cs="B Zar"/>
                <w:b/>
                <w:bCs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وديعه مسكن متأهلي</w:t>
            </w:r>
          </w:p>
        </w:tc>
        <w:tc>
          <w:tcPr>
            <w:tcW w:w="112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دانشجو </w:t>
            </w:r>
            <w:r w:rsidR="00DC68AD">
              <w:rPr>
                <w:rFonts w:cs="B Zar" w:hint="cs"/>
                <w:rtl/>
              </w:rPr>
              <w:t>می‌بایست</w:t>
            </w:r>
            <w:r w:rsidRPr="000B23B7">
              <w:rPr>
                <w:rFonts w:cs="B Zar" w:hint="cs"/>
                <w:rtl/>
              </w:rPr>
              <w:t xml:space="preserve"> متأهل، فاقد خوابگاه و داراي سند تعهد و </w:t>
            </w:r>
            <w:r w:rsidR="00DC68AD">
              <w:rPr>
                <w:rFonts w:cs="B Zar" w:hint="cs"/>
                <w:rtl/>
              </w:rPr>
              <w:t>اجاره‌نامه</w:t>
            </w:r>
            <w:r w:rsidR="00DC68AD">
              <w:rPr>
                <w:rFonts w:cs="B Zar"/>
                <w:rtl/>
              </w:rPr>
              <w:t xml:space="preserve"> (</w:t>
            </w:r>
            <w:r w:rsidRPr="000B23B7">
              <w:rPr>
                <w:rFonts w:cs="B Zar" w:hint="cs"/>
                <w:rtl/>
              </w:rPr>
              <w:t>داراي كد رهگيري) باشد.</w:t>
            </w:r>
          </w:p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به آخرين نيمسال تحصيلي مجاز، وام مسكن تعلق </w:t>
            </w:r>
            <w:r w:rsidR="00DC68AD">
              <w:rPr>
                <w:rFonts w:cs="B Zar" w:hint="cs"/>
                <w:rtl/>
              </w:rPr>
              <w:t>نمی‌گیرد</w:t>
            </w:r>
            <w:r w:rsidRPr="000B23B7">
              <w:rPr>
                <w:rFonts w:cs="B Zar" w:hint="cs"/>
                <w:rtl/>
              </w:rPr>
              <w:t>.</w:t>
            </w:r>
          </w:p>
          <w:p w:rsidR="00085723" w:rsidRPr="000B23B7" w:rsidRDefault="00DC68AD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درصورتی‌که</w:t>
            </w:r>
            <w:r w:rsidR="00085723" w:rsidRPr="000B23B7">
              <w:rPr>
                <w:rFonts w:cs="B Zar" w:hint="cs"/>
                <w:rtl/>
              </w:rPr>
              <w:t xml:space="preserve"> زوجين دانشجو باشند، فقط يكي از </w:t>
            </w:r>
            <w:r>
              <w:rPr>
                <w:rFonts w:cs="B Zar" w:hint="cs"/>
                <w:rtl/>
              </w:rPr>
              <w:t>آن‌ها</w:t>
            </w:r>
            <w:r w:rsidR="00085723" w:rsidRPr="000B23B7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می‌تواند</w:t>
            </w:r>
            <w:r w:rsidR="00085723" w:rsidRPr="000B23B7">
              <w:rPr>
                <w:rFonts w:cs="B Zar" w:hint="cs"/>
                <w:rtl/>
              </w:rPr>
              <w:t xml:space="preserve"> از وام وديعه مسكن </w:t>
            </w:r>
            <w:r>
              <w:rPr>
                <w:rFonts w:cs="B Zar" w:hint="cs"/>
                <w:rtl/>
              </w:rPr>
              <w:t>بهره‌مند</w:t>
            </w:r>
            <w:r w:rsidR="00085723" w:rsidRPr="000B23B7">
              <w:rPr>
                <w:rFonts w:cs="B Zar" w:hint="cs"/>
                <w:rtl/>
              </w:rPr>
              <w:t xml:space="preserve"> شود.</w:t>
            </w: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85723" w:rsidRPr="000B23B7" w:rsidRDefault="00085723" w:rsidP="004D571D">
            <w:pPr>
              <w:rPr>
                <w:rFonts w:cs="B Zar"/>
                <w:rtl/>
              </w:rPr>
            </w:pPr>
          </w:p>
        </w:tc>
      </w:tr>
      <w:tr w:rsidR="00085723" w:rsidRPr="000B23B7" w:rsidTr="00963833">
        <w:tc>
          <w:tcPr>
            <w:tcW w:w="446" w:type="dxa"/>
            <w:vMerge w:val="restart"/>
            <w:tcBorders>
              <w:top w:val="single" w:sz="18" w:space="0" w:color="auto"/>
            </w:tcBorders>
            <w:vAlign w:val="center"/>
          </w:tcPr>
          <w:p w:rsidR="00085723" w:rsidRPr="000B23B7" w:rsidRDefault="00085723" w:rsidP="001D14E0">
            <w:pPr>
              <w:jc w:val="center"/>
              <w:rPr>
                <w:rFonts w:cs="B Zar" w:hint="cs"/>
                <w:rtl/>
              </w:rPr>
            </w:pPr>
            <w:r w:rsidRPr="001D14E0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713" w:type="dxa"/>
            <w:tcBorders>
              <w:top w:val="single" w:sz="18" w:space="0" w:color="auto"/>
            </w:tcBorders>
            <w:vAlign w:val="center"/>
          </w:tcPr>
          <w:p w:rsidR="00085723" w:rsidRPr="000B23B7" w:rsidRDefault="00085723" w:rsidP="004D571D">
            <w:pPr>
              <w:jc w:val="center"/>
              <w:rPr>
                <w:rFonts w:cs="B Zar"/>
                <w:b/>
                <w:bCs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شهريه عادي</w:t>
            </w:r>
          </w:p>
        </w:tc>
        <w:tc>
          <w:tcPr>
            <w:tcW w:w="11285" w:type="dxa"/>
            <w:tcBorders>
              <w:top w:val="single" w:sz="18" w:space="0" w:color="auto"/>
            </w:tcBorders>
          </w:tcPr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وام شهريه به </w:t>
            </w:r>
            <w:r w:rsidR="00DC68AD">
              <w:rPr>
                <w:rFonts w:cs="B Zar" w:hint="cs"/>
                <w:rtl/>
              </w:rPr>
              <w:t>شماره‌حساب</w:t>
            </w:r>
            <w:r w:rsidRPr="000B23B7">
              <w:rPr>
                <w:rFonts w:cs="B Zar" w:hint="cs"/>
                <w:rtl/>
              </w:rPr>
              <w:t xml:space="preserve"> دانشگاه بابت تأمين بخشي از بدهي شهريه دانشجوي متقاضي واريز و </w:t>
            </w:r>
            <w:r w:rsidR="00DC68AD">
              <w:rPr>
                <w:rFonts w:cs="B Zar" w:hint="cs"/>
                <w:rtl/>
              </w:rPr>
              <w:t>به‌عنوان</w:t>
            </w:r>
            <w:r w:rsidRPr="000B23B7">
              <w:rPr>
                <w:rFonts w:cs="B Zar" w:hint="cs"/>
                <w:rtl/>
              </w:rPr>
              <w:t xml:space="preserve"> بدهي وي در پرونده دانشجو ثبت </w:t>
            </w:r>
            <w:r w:rsidR="00DC68AD">
              <w:rPr>
                <w:rFonts w:cs="B Zar" w:hint="cs"/>
                <w:rtl/>
              </w:rPr>
              <w:t>می‌گردد</w:t>
            </w:r>
            <w:r w:rsidRPr="000B23B7">
              <w:rPr>
                <w:rFonts w:cs="B Zar" w:hint="cs"/>
                <w:rtl/>
              </w:rPr>
              <w:t>.</w:t>
            </w:r>
          </w:p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/>
                <w:rtl/>
              </w:rPr>
            </w:pPr>
            <w:r w:rsidRPr="000B23B7">
              <w:rPr>
                <w:rFonts w:cs="B Zar" w:hint="cs"/>
                <w:rtl/>
              </w:rPr>
              <w:t xml:space="preserve">دانشجويان ورودي جديد </w:t>
            </w:r>
            <w:r w:rsidR="00DC68AD">
              <w:rPr>
                <w:rFonts w:cs="B Zar" w:hint="cs"/>
                <w:rtl/>
              </w:rPr>
              <w:t>دانشگاه‌های</w:t>
            </w:r>
            <w:r w:rsidRPr="000B23B7">
              <w:rPr>
                <w:rFonts w:cs="B Zar" w:hint="cs"/>
                <w:rtl/>
              </w:rPr>
              <w:t xml:space="preserve"> دولتي و </w:t>
            </w:r>
            <w:r w:rsidR="00DC68AD">
              <w:rPr>
                <w:rFonts w:cs="B Zar" w:hint="cs"/>
                <w:rtl/>
              </w:rPr>
              <w:t>غیردولتی</w:t>
            </w:r>
            <w:r w:rsidRPr="000B23B7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می‌توانند</w:t>
            </w:r>
            <w:r w:rsidRPr="000B23B7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صرفاً</w:t>
            </w:r>
            <w:r w:rsidRPr="000B23B7">
              <w:rPr>
                <w:rFonts w:cs="B Zar" w:hint="cs"/>
                <w:rtl/>
              </w:rPr>
              <w:t xml:space="preserve"> از وام شهريه صندوق </w:t>
            </w:r>
            <w:r w:rsidR="00DC68AD">
              <w:rPr>
                <w:rFonts w:cs="B Zar" w:hint="cs"/>
                <w:rtl/>
              </w:rPr>
              <w:t>بهره‌مند</w:t>
            </w:r>
            <w:r w:rsidRPr="000B23B7">
              <w:rPr>
                <w:rFonts w:cs="B Zar" w:hint="cs"/>
                <w:rtl/>
              </w:rPr>
              <w:t xml:space="preserve"> شوند</w:t>
            </w:r>
          </w:p>
        </w:tc>
        <w:tc>
          <w:tcPr>
            <w:tcW w:w="2170" w:type="dxa"/>
            <w:vMerge w:val="restart"/>
            <w:tcBorders>
              <w:top w:val="single" w:sz="18" w:space="0" w:color="auto"/>
            </w:tcBorders>
            <w:vAlign w:val="center"/>
          </w:tcPr>
          <w:p w:rsidR="00085723" w:rsidRPr="000B23B7" w:rsidRDefault="00085723" w:rsidP="004D571D">
            <w:pPr>
              <w:jc w:val="center"/>
              <w:rPr>
                <w:rFonts w:cs="B Zar"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دانشجوي نوبت دوم</w:t>
            </w:r>
          </w:p>
        </w:tc>
      </w:tr>
      <w:tr w:rsidR="00085723" w:rsidRPr="000B23B7" w:rsidTr="00C17748">
        <w:tc>
          <w:tcPr>
            <w:tcW w:w="446" w:type="dxa"/>
            <w:vMerge/>
          </w:tcPr>
          <w:p w:rsidR="00085723" w:rsidRPr="000B23B7" w:rsidRDefault="00085723" w:rsidP="004D571D">
            <w:pPr>
              <w:rPr>
                <w:rFonts w:cs="B Zar" w:hint="cs"/>
                <w:rtl/>
              </w:rPr>
            </w:pPr>
          </w:p>
        </w:tc>
        <w:tc>
          <w:tcPr>
            <w:tcW w:w="1713" w:type="dxa"/>
            <w:vAlign w:val="center"/>
          </w:tcPr>
          <w:p w:rsidR="00085723" w:rsidRPr="000B23B7" w:rsidRDefault="00085723" w:rsidP="004D571D">
            <w:pPr>
              <w:jc w:val="center"/>
              <w:rPr>
                <w:rFonts w:cs="B Zar"/>
                <w:b/>
                <w:bCs/>
                <w:rtl/>
              </w:rPr>
            </w:pPr>
            <w:r w:rsidRPr="000B23B7">
              <w:rPr>
                <w:rFonts w:cs="B Zar" w:hint="cs"/>
                <w:b/>
                <w:bCs/>
                <w:rtl/>
              </w:rPr>
              <w:t>مازاد شهريه دانشجويان تحت پوشش كميته امداد و بهزيستي</w:t>
            </w:r>
          </w:p>
        </w:tc>
        <w:tc>
          <w:tcPr>
            <w:tcW w:w="11285" w:type="dxa"/>
          </w:tcPr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اين وام </w:t>
            </w:r>
            <w:r w:rsidR="00DC68AD">
              <w:rPr>
                <w:rFonts w:cs="B Zar" w:hint="cs"/>
                <w:rtl/>
              </w:rPr>
              <w:t>صرفاً</w:t>
            </w:r>
            <w:r w:rsidRPr="000B23B7">
              <w:rPr>
                <w:rFonts w:cs="B Zar" w:hint="cs"/>
                <w:rtl/>
              </w:rPr>
              <w:t xml:space="preserve"> به دانشجويان تحت پوشش كميته امداد امام خميني و سازمان بهزيستي كشور تعلق </w:t>
            </w:r>
            <w:r w:rsidR="00DC68AD">
              <w:rPr>
                <w:rFonts w:cs="B Zar" w:hint="cs"/>
                <w:rtl/>
              </w:rPr>
              <w:t>می‌گیرد</w:t>
            </w:r>
            <w:r w:rsidRPr="000B23B7">
              <w:rPr>
                <w:rFonts w:cs="B Zar" w:hint="cs"/>
                <w:rtl/>
              </w:rPr>
              <w:t>.</w:t>
            </w:r>
          </w:p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براي ثبت وام مذكور نيازي به ارائه سند تعهد توسط دانشجو نبوده و نهادهاي حمايتي ضمانت پرداخت وام را </w:t>
            </w:r>
            <w:r w:rsidR="00DC68AD">
              <w:rPr>
                <w:rFonts w:cs="B Zar" w:hint="cs"/>
                <w:rtl/>
              </w:rPr>
              <w:t>بر</w:t>
            </w:r>
            <w:r w:rsidR="00DC68AD">
              <w:rPr>
                <w:rFonts w:cs="B Zar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عهده‌دارند</w:t>
            </w:r>
            <w:r w:rsidRPr="000B23B7">
              <w:rPr>
                <w:rFonts w:cs="B Zar" w:hint="cs"/>
                <w:rtl/>
              </w:rPr>
              <w:t>.</w:t>
            </w:r>
          </w:p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 w:hint="cs"/>
                <w:rtl/>
              </w:rPr>
            </w:pPr>
            <w:r w:rsidRPr="000B23B7">
              <w:rPr>
                <w:rFonts w:cs="B Zar" w:hint="cs"/>
                <w:rtl/>
              </w:rPr>
              <w:t xml:space="preserve">دانشجويان تحت پوشش واجد شرايط در ابتداي هر نيمسال از سوي نهادهاي حمايتي </w:t>
            </w:r>
            <w:r w:rsidR="00DC68AD">
              <w:rPr>
                <w:rFonts w:cs="B Zar" w:hint="cs"/>
                <w:rtl/>
              </w:rPr>
              <w:t>معرفی‌شده</w:t>
            </w:r>
            <w:r w:rsidRPr="000B23B7">
              <w:rPr>
                <w:rFonts w:cs="B Zar" w:hint="cs"/>
                <w:rtl/>
              </w:rPr>
              <w:t xml:space="preserve"> و ثبت درخواست وام مازاد شهريه دانشجويان تحت پوشش، توسط دانشجو و </w:t>
            </w:r>
            <w:r w:rsidR="00DC68AD">
              <w:rPr>
                <w:rFonts w:cs="B Zar" w:hint="cs"/>
                <w:rtl/>
              </w:rPr>
              <w:t>صرفاً</w:t>
            </w:r>
            <w:r w:rsidRPr="000B23B7">
              <w:rPr>
                <w:rFonts w:cs="B Zar" w:hint="cs"/>
                <w:rtl/>
              </w:rPr>
              <w:t xml:space="preserve"> از طريق پورتال دانشجويي صندوق رفاه </w:t>
            </w:r>
            <w:r w:rsidR="00DC68AD">
              <w:rPr>
                <w:rFonts w:cs="B Zar" w:hint="cs"/>
                <w:rtl/>
              </w:rPr>
              <w:t>امکان‌پذیر</w:t>
            </w:r>
            <w:r w:rsidRPr="000B23B7">
              <w:rPr>
                <w:rFonts w:cs="B Zar" w:hint="cs"/>
                <w:rtl/>
              </w:rPr>
              <w:t xml:space="preserve"> </w:t>
            </w:r>
            <w:r w:rsidR="00DC68AD">
              <w:rPr>
                <w:rFonts w:cs="B Zar" w:hint="cs"/>
                <w:rtl/>
              </w:rPr>
              <w:t>می‌باشد</w:t>
            </w:r>
            <w:r w:rsidRPr="000B23B7">
              <w:rPr>
                <w:rFonts w:cs="B Zar" w:hint="cs"/>
                <w:rtl/>
              </w:rPr>
              <w:t>.</w:t>
            </w:r>
          </w:p>
          <w:p w:rsidR="00085723" w:rsidRPr="000B23B7" w:rsidRDefault="00085723" w:rsidP="004D571D">
            <w:pPr>
              <w:pStyle w:val="ListParagraph"/>
              <w:numPr>
                <w:ilvl w:val="0"/>
                <w:numId w:val="2"/>
              </w:numPr>
              <w:ind w:left="527" w:hanging="170"/>
              <w:jc w:val="both"/>
              <w:rPr>
                <w:rFonts w:cs="B Zar"/>
                <w:rtl/>
              </w:rPr>
            </w:pPr>
            <w:r w:rsidRPr="000B23B7">
              <w:rPr>
                <w:rFonts w:cs="B Zar" w:hint="cs"/>
                <w:rtl/>
              </w:rPr>
              <w:t xml:space="preserve">به دليل پرداخت كل مازاد شهريه دانشجو در قالب اين وام، دانشجويان </w:t>
            </w:r>
            <w:r w:rsidR="00DC68AD">
              <w:rPr>
                <w:rFonts w:cs="B Zar" w:hint="cs"/>
                <w:rtl/>
              </w:rPr>
              <w:t>معرفی‌شده</w:t>
            </w:r>
            <w:r w:rsidRPr="000B23B7">
              <w:rPr>
                <w:rFonts w:cs="B Zar" w:hint="cs"/>
                <w:rtl/>
              </w:rPr>
              <w:t xml:space="preserve"> امكان استفاده از وام شهريه صندوق و بانك را ندارند.</w:t>
            </w:r>
          </w:p>
        </w:tc>
        <w:tc>
          <w:tcPr>
            <w:tcW w:w="2170" w:type="dxa"/>
            <w:vMerge/>
          </w:tcPr>
          <w:p w:rsidR="00085723" w:rsidRPr="000B23B7" w:rsidRDefault="00085723" w:rsidP="004D571D">
            <w:pPr>
              <w:rPr>
                <w:rFonts w:cs="B Zar"/>
                <w:rtl/>
              </w:rPr>
            </w:pPr>
          </w:p>
        </w:tc>
      </w:tr>
    </w:tbl>
    <w:p w:rsidR="00110082" w:rsidRPr="000B23B7" w:rsidRDefault="00E83AE3">
      <w:pPr>
        <w:rPr>
          <w:rFonts w:cs="B Zar"/>
        </w:rPr>
      </w:pPr>
      <w:bookmarkStart w:id="0" w:name="_GoBack"/>
      <w:bookmarkEnd w:id="0"/>
    </w:p>
    <w:sectPr w:rsidR="00110082" w:rsidRPr="000B23B7" w:rsidSect="004D571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E3" w:rsidRDefault="00E83AE3" w:rsidP="004D571D">
      <w:pPr>
        <w:spacing w:after="0" w:line="240" w:lineRule="auto"/>
      </w:pPr>
      <w:r>
        <w:separator/>
      </w:r>
    </w:p>
  </w:endnote>
  <w:endnote w:type="continuationSeparator" w:id="0">
    <w:p w:rsidR="00E83AE3" w:rsidRDefault="00E83AE3" w:rsidP="004D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E3" w:rsidRDefault="00E83AE3" w:rsidP="004D571D">
      <w:pPr>
        <w:spacing w:after="0" w:line="240" w:lineRule="auto"/>
      </w:pPr>
      <w:r>
        <w:separator/>
      </w:r>
    </w:p>
  </w:footnote>
  <w:footnote w:type="continuationSeparator" w:id="0">
    <w:p w:rsidR="00E83AE3" w:rsidRDefault="00E83AE3" w:rsidP="004D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1E1"/>
    <w:multiLevelType w:val="hybridMultilevel"/>
    <w:tmpl w:val="71E00602"/>
    <w:lvl w:ilvl="0" w:tplc="E08010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72E9"/>
    <w:multiLevelType w:val="hybridMultilevel"/>
    <w:tmpl w:val="64662CC0"/>
    <w:lvl w:ilvl="0" w:tplc="E08010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B"/>
    <w:rsid w:val="00085723"/>
    <w:rsid w:val="000B23B7"/>
    <w:rsid w:val="001D14E0"/>
    <w:rsid w:val="00461360"/>
    <w:rsid w:val="004D571D"/>
    <w:rsid w:val="00673BDF"/>
    <w:rsid w:val="00963833"/>
    <w:rsid w:val="009B07BB"/>
    <w:rsid w:val="00BC6C92"/>
    <w:rsid w:val="00C17748"/>
    <w:rsid w:val="00CE5C0A"/>
    <w:rsid w:val="00DC68AD"/>
    <w:rsid w:val="00E8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1D"/>
  </w:style>
  <w:style w:type="paragraph" w:styleId="Footer">
    <w:name w:val="footer"/>
    <w:basedOn w:val="Normal"/>
    <w:link w:val="FooterChar"/>
    <w:uiPriority w:val="99"/>
    <w:unhideWhenUsed/>
    <w:rsid w:val="004D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71D"/>
  </w:style>
  <w:style w:type="paragraph" w:styleId="Footer">
    <w:name w:val="footer"/>
    <w:basedOn w:val="Normal"/>
    <w:link w:val="FooterChar"/>
    <w:uiPriority w:val="99"/>
    <w:unhideWhenUsed/>
    <w:rsid w:val="004D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2022-10-19T06:01:00Z</dcterms:created>
  <dcterms:modified xsi:type="dcterms:W3CDTF">2022-10-19T06:25:00Z</dcterms:modified>
</cp:coreProperties>
</file>